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 w15">
  <w:body>
    <w:p>
      <w:pPr>
        <w:jc w:val="center"/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EK-2 2025-IHL-02</w:t>
      </w:r>
    </w:p>
    <w:p>
      <w:pPr>
        <w:jc w:val="center"/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İHALE İLANI</w:t>
      </w:r>
    </w:p>
    <w:p>
      <w:pPr>
        <w:jc w:val="center"/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ŞANLIURFA GIDA İHTİSAS ORGANİZE SANAYİ BÖLGESİ</w:t>
      </w:r>
    </w:p>
    <w:p>
      <w:pPr>
        <w:jc w:val="center"/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BEKOLODER İŞ MAKİNESİ KİRALAMASI HİZMET ALIMI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1. İdare Bilgileri </w:t>
      </w:r>
    </w:p>
    <w:p>
      <w:pPr>
        <w:numPr>
          <w:numId w:val="1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İdarenin Adı: Şanlıurfa Gıda İhtisas Organize Sanayi Bölgesi Müdürlüğü </w:t>
      </w:r>
    </w:p>
    <w:p>
      <w:pPr>
        <w:numPr>
          <w:numId w:val="1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Adres: Koçören Mah. 601. Cad. No:4 Gıda İhtisas OSB Müdürlüğü Eyyübiye Şanlıurfa </w:t>
      </w:r>
    </w:p>
    <w:p>
      <w:pPr>
        <w:numPr>
          <w:numId w:val="1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E-Posta: bilgi@sugiosb.org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2. İhale Konusu İşin Niteliği, Türü ve Miktarı </w:t>
      </w:r>
    </w:p>
    <w:p>
      <w:pPr>
        <w:numPr>
          <w:numId w:val="2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İşin Adı:</w:t>
      </w:r>
      <w:r>
        <w:rPr>
          <w:shd w:val="clear"/>
          <w:rFonts w:ascii="Times New Roman" w:hAnsi="Times New Roman" w:cs="Times New Roman"/>
        </w:rPr>
        <w:t xml:space="preserve"> Kullanıcılı Bekoloder İş Makinası Kiralaması Hizmet Alımı </w:t>
      </w:r>
    </w:p>
    <w:p>
      <w:pPr>
        <w:numPr>
          <w:numId w:val="2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Niteliği ve Türü:</w:t>
      </w:r>
      <w:r>
        <w:rPr>
          <w:shd w:val="clear"/>
          <w:rFonts w:ascii="Times New Roman" w:hAnsi="Times New Roman" w:cs="Times New Roman"/>
        </w:rPr>
        <w:t xml:space="preserve"> Şanlıurfa Gıda İhtisas Organize Sanayi Bölgesi’nde altyapı, hafriyat, zemin </w:t>
      </w:r>
      <w:r>
        <w:rPr>
          <w:shd w:val="clear"/>
          <w:rFonts w:ascii="Times New Roman" w:hAnsi="Times New Roman" w:cs="Times New Roman"/>
        </w:rPr>
        <w:t xml:space="preserve">düzenleme ve malzeme nakliyesi işlerinde kullanılmak üzere saatlik bazda kullanıcılı iş makine </w:t>
      </w:r>
      <w:r>
        <w:rPr>
          <w:shd w:val="clear"/>
          <w:rFonts w:ascii="Times New Roman" w:hAnsi="Times New Roman" w:cs="Times New Roman"/>
        </w:rPr>
        <w:t xml:space="preserve">kiralama hizmeti alımı. </w:t>
      </w:r>
    </w:p>
    <w:p>
      <w:pPr>
        <w:numPr>
          <w:numId w:val="2"/>
          <w:ilvl w:val="0"/>
        </w:num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Miktarı: </w:t>
      </w:r>
    </w:p>
    <w:p>
      <w:pPr>
        <w:numPr>
          <w:numId w:val="2"/>
          <w:ilvl w:val="1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Bekoloder: 2 tane * Aylık 25 gün x 8 saat/gün = 400 saat </w:t>
      </w:r>
    </w:p>
    <w:p>
      <w:pPr>
        <w:spacing w:after="0"/>
        <w:ind w:left="1440" w:firstLine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Toplam: Aylık 400 saat (aylık eksiliş veya artış olabilir)</w:t>
      </w:r>
    </w:p>
    <w:p>
      <w:pPr>
        <w:spacing w:after="0"/>
        <w:ind w:left="1440" w:firstLine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Belirtilen saatler yaklaşık olup bu saatlerden daha az veya hiç çalıştırılması mümkün </w:t>
      </w:r>
      <w:r>
        <w:rPr>
          <w:shd w:val="clear"/>
          <w:rFonts w:ascii="Times New Roman" w:hAnsi="Times New Roman" w:cs="Times New Roman"/>
        </w:rPr>
        <w:t xml:space="preserve">olmayan zamanlarda iş makineleri çalıştırılmayacaktır. Saatlik bazda hesaplanacaktır.</w:t>
      </w:r>
    </w:p>
    <w:p>
      <w:pPr>
        <w:numPr>
          <w:numId w:val="2"/>
          <w:ilvl w:val="1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31.12.2025 tarihine kadar hizmet alınacaktır. (Ortalama 8 ay)</w:t>
      </w:r>
    </w:p>
    <w:p>
      <w:pPr>
        <w:numPr>
          <w:numId w:val="2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>Süre:</w:t>
      </w:r>
      <w:r>
        <w:rPr>
          <w:shd w:val="clear"/>
          <w:rFonts w:ascii="Times New Roman" w:hAnsi="Times New Roman" w:cs="Times New Roman"/>
        </w:rPr>
        <w:t xml:space="preserve"> İş, sözleşme imzalanmasından itibaren 5 iş günü içinde başlayacak ve 31.12.2025 tarihine </w:t>
      </w:r>
      <w:r>
        <w:rPr>
          <w:shd w:val="clear"/>
          <w:rFonts w:ascii="Times New Roman" w:hAnsi="Times New Roman" w:cs="Times New Roman"/>
        </w:rPr>
        <w:t xml:space="preserve">kadar tamamlanacaktır. </w:t>
      </w:r>
    </w:p>
    <w:p>
      <w:pPr>
        <w:numPr>
          <w:numId w:val="2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İş Artışı:</w:t>
      </w:r>
      <w:r>
        <w:rPr>
          <w:shd w:val="clear"/>
          <w:rFonts w:ascii="Times New Roman" w:hAnsi="Times New Roman" w:cs="Times New Roman"/>
        </w:rPr>
        <w:t xml:space="preserve"> İdare, işin miktarını aylık olarak %50 oranında artırma veya eksiltme hakkını saklı tutar. </w:t>
      </w:r>
    </w:p>
    <w:p>
      <w:pPr>
        <w:numPr>
          <w:numId w:val="2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Detaylı Bilgi:</w:t>
      </w:r>
      <w:r>
        <w:rPr>
          <w:shd w:val="clear"/>
          <w:rFonts w:ascii="Times New Roman" w:hAnsi="Times New Roman" w:cs="Times New Roman"/>
        </w:rPr>
        <w:t xml:space="preserve"> İşin teknik özellikleri ve koşulları ihale dokümanında yer alan İdari ve Teknik </w:t>
      </w:r>
      <w:r>
        <w:rPr>
          <w:shd w:val="clear"/>
          <w:rFonts w:ascii="Times New Roman" w:hAnsi="Times New Roman" w:cs="Times New Roman"/>
        </w:rPr>
        <w:t xml:space="preserve">Şartname’ de belirtilmiştir.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3. İhale Usulü ve Türü </w:t>
      </w:r>
    </w:p>
    <w:p>
      <w:pPr>
        <w:numPr>
          <w:numId w:val="3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İhale Usulü:</w:t>
      </w:r>
      <w:r>
        <w:rPr>
          <w:shd w:val="clear"/>
          <w:rFonts w:ascii="Times New Roman" w:hAnsi="Times New Roman" w:cs="Times New Roman"/>
        </w:rPr>
        <w:t xml:space="preserve"> Açık ihale usulü </w:t>
      </w:r>
    </w:p>
    <w:p>
      <w:pPr>
        <w:numPr>
          <w:numId w:val="3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Teklif Türü:</w:t>
      </w:r>
      <w:r>
        <w:rPr>
          <w:shd w:val="clear"/>
          <w:rFonts w:ascii="Times New Roman" w:hAnsi="Times New Roman" w:cs="Times New Roman"/>
        </w:rPr>
        <w:t xml:space="preserve"> Birim fiyat teklif usulü (saatlik kiralama bedeli üzerinden)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4. İhale ve Başvuru Bilgileri </w:t>
      </w:r>
    </w:p>
    <w:p>
      <w:pPr>
        <w:numPr>
          <w:numId w:val="4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İhale Tarihi ve Saati:</w:t>
      </w:r>
      <w:r>
        <w:rPr>
          <w:shd w:val="clear"/>
          <w:rFonts w:ascii="Times New Roman" w:hAnsi="Times New Roman" w:cs="Times New Roman"/>
        </w:rPr>
        <w:t xml:space="preserve"> 24 Nisan 2025, Perşembe, Saat: 14:00 </w:t>
      </w:r>
    </w:p>
    <w:p>
      <w:pPr>
        <w:numPr>
          <w:numId w:val="4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İhale Yeri:</w:t>
      </w:r>
      <w:r>
        <w:rPr>
          <w:shd w:val="clear"/>
          <w:rFonts w:ascii="Times New Roman" w:hAnsi="Times New Roman" w:cs="Times New Roman"/>
        </w:rPr>
        <w:t xml:space="preserve"> Şanlıurfa Gıda İhtisas Organize Sanayi Bölge Müdürlüğü Toplantı Salonu- Koçören Mah. </w:t>
      </w:r>
      <w:r>
        <w:rPr>
          <w:shd w:val="clear"/>
          <w:rFonts w:ascii="Times New Roman" w:hAnsi="Times New Roman" w:cs="Times New Roman"/>
        </w:rPr>
        <w:t xml:space="preserve">601. Cad. No:4 Gıda İhtisas OSB Müdürlüğü Eyyübiye Şanlıurfa</w:t>
      </w:r>
    </w:p>
    <w:p>
      <w:pPr>
        <w:numPr>
          <w:numId w:val="4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Son Başvuru Tarihi ve Saati:</w:t>
      </w:r>
      <w:r>
        <w:rPr>
          <w:shd w:val="clear"/>
          <w:rFonts w:ascii="Times New Roman" w:hAnsi="Times New Roman" w:cs="Times New Roman"/>
        </w:rPr>
        <w:t xml:space="preserve"> 24 Nisan 2025, </w:t>
      </w:r>
      <w:r>
        <w:rPr>
          <w:shd w:val="clear"/>
          <w:rFonts w:ascii="Times New Roman" w:hAnsi="Times New Roman" w:cs="Times New Roman"/>
        </w:rPr>
        <w:t>Perşembe</w:t>
      </w:r>
      <w:r>
        <w:rPr>
          <w:shd w:val="clear"/>
          <w:rFonts w:ascii="Times New Roman" w:hAnsi="Times New Roman" w:cs="Times New Roman"/>
        </w:rPr>
        <w:t xml:space="preserve">, Saat: 10:00 </w:t>
      </w:r>
    </w:p>
    <w:p>
      <w:pPr>
        <w:numPr>
          <w:numId w:val="4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Teklif Teslim Yeri:</w:t>
      </w:r>
      <w:r>
        <w:rPr>
          <w:shd w:val="clear"/>
          <w:rFonts w:ascii="Times New Roman" w:hAnsi="Times New Roman" w:cs="Times New Roman"/>
        </w:rPr>
        <w:t xml:space="preserve"> Şanlıurfa Gıda İhtisas OSB Müdürlüğü - Koçören Mah. 601. Cad. No:4 Gıda </w:t>
      </w:r>
      <w:r>
        <w:rPr>
          <w:shd w:val="clear"/>
          <w:rFonts w:ascii="Times New Roman" w:hAnsi="Times New Roman" w:cs="Times New Roman"/>
        </w:rPr>
        <w:t xml:space="preserve">İhtisas OSB Müdürlüğü Eyyübiye Şanlıurfa </w:t>
      </w:r>
    </w:p>
    <w:p>
      <w:pPr>
        <w:numPr>
          <w:numId w:val="4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İhale Dokümanlarının Temin Edileceği Yer:</w:t>
      </w:r>
      <w:r>
        <w:rPr>
          <w:shd w:val="clear"/>
          <w:rFonts w:ascii="Times New Roman" w:hAnsi="Times New Roman" w:cs="Times New Roman"/>
        </w:rPr>
        <w:t xml:space="preserve"> Şanlıurfa Gıda İhtisas OSB Bölge Müdürlüğü</w:t>
      </w:r>
    </w:p>
    <w:p>
      <w:pPr>
        <w:numPr>
          <w:numId w:val="4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Doküman Bedeli:</w:t>
      </w:r>
      <w:r>
        <w:rPr>
          <w:shd w:val="clear"/>
          <w:rFonts w:ascii="Times New Roman" w:hAnsi="Times New Roman" w:cs="Times New Roman"/>
        </w:rPr>
        <w:t xml:space="preserve"> 10.000 TL – (iade edilmez) </w:t>
      </w:r>
      <w:bookmarkStart w:id="1" w:name="_Hlk195303453"/>
      <w:r>
        <w:rPr>
          <w:shd w:val="clear"/>
          <w:rFonts w:ascii="Times New Roman" w:hAnsi="Times New Roman" w:cs="Times New Roman"/>
        </w:rPr>
        <w:t xml:space="preserve">İhale dosyası alındı ücretini müdürlüğümüz hesabı; </w:t>
      </w:r>
      <w:r>
        <w:rPr>
          <w:shd w:val="clear"/>
          <w:rFonts w:ascii="Times New Roman" w:hAnsi="Times New Roman" w:cs="Times New Roman"/>
        </w:rPr>
        <w:t xml:space="preserve">ŞANLIURFA GIDA İHTİSAS ORGANİZE SANAYİ BÖLGE MÜDÜRLÜĞÜ, T.C. Vakıflar </w:t>
      </w:r>
      <w:r>
        <w:rPr>
          <w:shd w:val="clear"/>
          <w:rFonts w:ascii="Times New Roman" w:hAnsi="Times New Roman" w:cs="Times New Roman"/>
        </w:rPr>
        <w:t xml:space="preserve">Bankası, Şanlıurfa / Haliliye Şubesi, TR51 0001 5001 5800 7306 7908 71 IBAN numaralı TL </w:t>
      </w:r>
      <w:r>
        <w:rPr>
          <w:shd w:val="clear"/>
          <w:rFonts w:ascii="Times New Roman" w:hAnsi="Times New Roman" w:cs="Times New Roman"/>
        </w:rPr>
        <w:t xml:space="preserve">hesabına yatırılacaktır.</w:t>
      </w:r>
      <w:bookmarkEnd w:id="1"/>
    </w:p>
    <w:p>
      <w:p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5. Başvuru Şartları</w:t>
      </w:r>
      <w:r>
        <w:rPr>
          <w:shd w:val="clear"/>
          <w:rFonts w:ascii="Times New Roman" w:hAnsi="Times New Roman" w:cs="Times New Roman"/>
        </w:rPr>
        <w:br/>
      </w:r>
      <w:r>
        <w:rPr>
          <w:shd w:val="clear"/>
          <w:rFonts w:ascii="Times New Roman" w:hAnsi="Times New Roman" w:cs="Times New Roman"/>
        </w:rPr>
        <w:t xml:space="preserve">İhaleye katılmak isteyen isteklilerin aşağıdaki şartları sağlaması gerekmektedir: 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5.1. Genel Şartlar: </w:t>
      </w:r>
    </w:p>
    <w:p>
      <w:pPr>
        <w:numPr>
          <w:numId w:val="5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Türkiye’de kayıtlı gerçek veya tüzel kişi olmak. </w:t>
      </w:r>
    </w:p>
    <w:p>
      <w:pPr>
        <w:numPr>
          <w:numId w:val="5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İhale tarihinde, ihalelerden yasaklılık durumunda bulunmamak (Yazı ile beyan edilecek).</w:t>
      </w:r>
    </w:p>
    <w:p>
      <w:pPr>
        <w:numPr>
          <w:numId w:val="5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İflas, tasfiye, konkordato veya benzeri bir mali durumda olmamak. 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5.2. Mesleki ve Teknik Yeterlilik Şartları: </w:t>
      </w:r>
    </w:p>
    <w:p>
      <w:pPr>
        <w:numPr>
          <w:numId w:val="6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Makine Kapasitesi: İstekli, ihale konusu makinelere (minimum 2 bekoloder) sahip olduğunu veya </w:t>
      </w:r>
      <w:r>
        <w:rPr>
          <w:shd w:val="clear"/>
          <w:rFonts w:ascii="Times New Roman" w:hAnsi="Times New Roman" w:cs="Times New Roman"/>
        </w:rPr>
        <w:t xml:space="preserve">kiralama yoluyla temin edebileceğini belgeleyecektir (makine ruhsatları, tapu veya kiralama </w:t>
      </w:r>
      <w:r>
        <w:rPr>
          <w:shd w:val="clear"/>
          <w:rFonts w:ascii="Times New Roman" w:hAnsi="Times New Roman" w:cs="Times New Roman"/>
        </w:rPr>
        <w:t xml:space="preserve">sözleşmeleri ile). </w:t>
      </w:r>
    </w:p>
    <w:p>
      <w:pPr>
        <w:numPr>
          <w:numId w:val="6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Benzer İş Deneyimi:</w:t>
      </w:r>
      <w:r>
        <w:rPr>
          <w:shd w:val="clear"/>
          <w:rFonts w:ascii="Times New Roman" w:hAnsi="Times New Roman" w:cs="Times New Roman"/>
        </w:rPr>
        <w:t xml:space="preserve"> Son 5 yıl içinde kamu veya özel sektörde operatörlü makine kiralama hizmeti </w:t>
      </w:r>
      <w:r>
        <w:rPr>
          <w:shd w:val="clear"/>
          <w:rFonts w:ascii="Times New Roman" w:hAnsi="Times New Roman" w:cs="Times New Roman"/>
        </w:rPr>
        <w:t xml:space="preserve">içeren en az 1 (bir) iş tamamlamış olmak (iş bitirme belgesi, fatura veya sözleşme ile kanıtlanacak). </w:t>
      </w:r>
    </w:p>
    <w:p>
      <w:pPr>
        <w:numPr>
          <w:numId w:val="6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Bakım Güvencesi:</w:t>
      </w:r>
      <w:r>
        <w:rPr>
          <w:shd w:val="clear"/>
          <w:rFonts w:ascii="Times New Roman" w:hAnsi="Times New Roman" w:cs="Times New Roman"/>
        </w:rPr>
        <w:t xml:space="preserve"> Makinelerin bakım ve onarımını sağlayabilecek teknik ekip veya anlaşmalı servis </w:t>
      </w:r>
      <w:r>
        <w:rPr>
          <w:shd w:val="clear"/>
          <w:rFonts w:ascii="Times New Roman" w:hAnsi="Times New Roman" w:cs="Times New Roman"/>
        </w:rPr>
        <w:t xml:space="preserve">varlığı (servis sözleşmesi veya personel listesi ile kanıtlanacak).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5.3. Mali Yeterlilik Şartları: </w:t>
      </w:r>
    </w:p>
    <w:p>
      <w:pPr>
        <w:numPr>
          <w:numId w:val="7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Mali Durum: </w:t>
      </w:r>
      <w:r>
        <w:rPr>
          <w:shd w:val="clear"/>
          <w:rFonts w:ascii="Times New Roman" w:hAnsi="Times New Roman" w:cs="Times New Roman"/>
        </w:rPr>
        <w:t xml:space="preserve">Son 1 yıl içinde vadesi geçmiş vergi veya SGK borcu bulunmamak (son 1 ay içinde </w:t>
      </w:r>
      <w:r>
        <w:rPr>
          <w:shd w:val="clear"/>
          <w:rFonts w:ascii="Times New Roman" w:hAnsi="Times New Roman" w:cs="Times New Roman"/>
        </w:rPr>
        <w:t xml:space="preserve">alınmış belgelerle kanıtlanacak).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5.4. İstenen Belgeler: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Teklif mektubu (standart form)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Toplam teklif edilen bedel üzerinden Geçici teminat (teklif bedelinin %3’ü – banka teminat mektubu, </w:t>
      </w:r>
      <w:r>
        <w:rPr>
          <w:shd w:val="clear"/>
          <w:rFonts w:ascii="Times New Roman" w:hAnsi="Times New Roman" w:cs="Times New Roman"/>
        </w:rPr>
        <w:t xml:space="preserve">nakit)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Sözleşme durumunda; Toplam teklif edilen bedel üzerinden Kesin teminat (teklif bedelinin %6’sı – </w:t>
      </w:r>
      <w:r>
        <w:rPr>
          <w:shd w:val="clear"/>
          <w:rFonts w:ascii="Times New Roman" w:hAnsi="Times New Roman" w:cs="Times New Roman"/>
        </w:rPr>
        <w:t xml:space="preserve">banka teminat mektubu, nakit)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Ticaret Sicil Gazetesi (tüzel kişiler için)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Vergi Levhası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İmza sirküleri ve vekaletname (varsa)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Vergi borcu yoktur belgesi (son 1 ay)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SGK borcu yoktur belgesi (son 1 ay)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Mesleki ve mali yeterlilik belgeleri (yukarıda belirtilenler) </w:t>
      </w:r>
    </w:p>
    <w:p>
      <w:pPr>
        <w:numPr>
          <w:numId w:val="8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Şartname doküman bedeli ödendi dekontu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6. Tekliflerin Hazırlanması ve Teslimi </w:t>
      </w:r>
    </w:p>
    <w:p>
      <w:pPr>
        <w:numPr>
          <w:numId w:val="9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Teklifler, kapalı zarf içinde elden veya iadeli taahhütlü posta yoluyla son başvuru tarihine kadar </w:t>
      </w:r>
      <w:r>
        <w:rPr>
          <w:shd w:val="clear"/>
          <w:rFonts w:ascii="Times New Roman" w:hAnsi="Times New Roman" w:cs="Times New Roman"/>
        </w:rPr>
        <w:t xml:space="preserve">teslim edilecektir. </w:t>
      </w:r>
    </w:p>
    <w:p>
      <w:pPr>
        <w:numPr>
          <w:numId w:val="9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Postadaki gecikmelerden İdare sorumlu tutulmayacaktır.</w:t>
      </w:r>
    </w:p>
    <w:p>
      <w:pPr>
        <w:spacing w:after="0"/>
        <w:rPr>
          <w:b w:val="1"/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7. Diğer Hususlar </w:t>
      </w:r>
    </w:p>
    <w:p>
      <w:pPr>
        <w:numPr>
          <w:numId w:val="10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İhale dokümanları, belirtilen adresten mesai saatleri içinde ücretsiz incelenebilir; ancak ihaleye </w:t>
      </w:r>
      <w:r>
        <w:rPr>
          <w:shd w:val="clear"/>
          <w:rFonts w:ascii="Times New Roman" w:hAnsi="Times New Roman" w:cs="Times New Roman"/>
        </w:rPr>
        <w:t xml:space="preserve">katılmak için dokümanların satın alınması zorunludur. </w:t>
      </w:r>
    </w:p>
    <w:p>
      <w:pPr>
        <w:numPr>
          <w:numId w:val="10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İdare, ihaleyi yapıp yapmamakta veya iptal etmekte serbesttir. </w:t>
      </w:r>
    </w:p>
    <w:p>
      <w:pPr>
        <w:numPr>
          <w:numId w:val="10"/>
          <w:ilvl w:val="0"/>
        </w:num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Tekliflerin geçerlilik süresi, ihale tarihinden itibaren 90 (doksan) takvim günü olacaktır. </w:t>
      </w:r>
    </w:p>
    <w:p>
      <w:pPr>
        <w:spacing w:after="0"/>
        <w:rPr>
          <w:shd w:val="clear"/>
          <w:rFonts w:ascii="Times New Roman" w:hAnsi="Times New Roman" w:cs="Times New Roman"/>
        </w:rPr>
      </w:pPr>
      <w:r>
        <w:rPr>
          <w:b w:val="1"/>
          <w:shd w:val="clear"/>
          <w:rFonts w:ascii="Times New Roman" w:hAnsi="Times New Roman" w:cs="Times New Roman"/>
        </w:rPr>
        <w:t xml:space="preserve">8. İletişim ve Sorular</w:t>
      </w:r>
      <w:r>
        <w:rPr>
          <w:shd w:val="clear"/>
          <w:rFonts w:ascii="Times New Roman" w:hAnsi="Times New Roman" w:cs="Times New Roman"/>
        </w:rPr>
        <w:br/>
      </w:r>
      <w:r>
        <w:rPr>
          <w:shd w:val="clear"/>
          <w:rFonts w:ascii="Times New Roman" w:hAnsi="Times New Roman" w:cs="Times New Roman"/>
        </w:rPr>
        <w:t xml:space="preserve">İhaleye ilişkin sorular, son başvuru tarihinden en az 3 (üç) gün önce yazılı olarak İdare’ye iletilebilir. </w:t>
      </w:r>
    </w:p>
    <w:p>
      <w:pPr>
        <w:spacing w:after="0"/>
        <w:rPr>
          <w:shd w:val="clear"/>
          <w:rFonts w:ascii="Times New Roman" w:hAnsi="Times New Roman" w:cs="Times New Roman"/>
        </w:rPr>
      </w:pPr>
      <w:r>
        <w:rPr>
          <w:shd w:val="clear"/>
          <w:rFonts w:ascii="Times New Roman" w:hAnsi="Times New Roman" w:cs="Times New Roman"/>
        </w:rPr>
        <w:t xml:space="preserve">İlan Tarihi: 16.04.2025 – 09:00</w:t>
      </w:r>
      <w:r>
        <w:rPr>
          <w:shd w:val="clear"/>
          <w:rFonts w:ascii="Times New Roman" w:hAnsi="Times New Roman" w:cs="Times New Roman"/>
        </w:rPr>
        <w:br/>
      </w:r>
      <w:r>
        <w:rPr>
          <w:shd w:val="clear"/>
          <w:rFonts w:ascii="Times New Roman" w:hAnsi="Times New Roman" w:cs="Times New Roman"/>
        </w:rPr>
        <w:t xml:space="preserve">İdare Adına: Şanlıurfa Gıda İhtisas OSB Müdürlüğü </w:t>
      </w:r>
    </w:p>
    <w:p>
      <w:pPr>
        <w:spacing w:after="0"/>
        <w:rPr>
          <w:shd w:val="clear"/>
          <w:rFonts w:ascii="Times New Roman" w:hAnsi="Times New Roman" w:cs="Times New Roman"/>
        </w:rPr>
      </w:pPr>
    </w:p>
    <w:sectPr>
      <w:pgSz w:w="11906" w:h="16838"/>
      <w:pgMar w:top="720" w:left="720" w:bottom="720" w:right="720" w:header="708" w:footer="708" w:gutter="0"/>
      <w:pgNumType w:fmt="decimal"/>
      <w:docGrid w:type="default" w:linePitch="360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>
  <w:abstractNum w:abstractNumId="0">
    <w:multiLevelType w:val="hybridMultilevel"/>
    <w:nsid w:val="2F000000"/>
    <w:tmpl w:val="28D4E378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1">
    <w:multiLevelType w:val="hybridMultilevel"/>
    <w:nsid w:val="2F000001"/>
    <w:tmpl w:val="56A1E052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2">
    <w:multiLevelType w:val="hybridMultilevel"/>
    <w:nsid w:val="2F000002"/>
    <w:tmpl w:val="438E64DA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3">
    <w:multiLevelType w:val="hybridMultilevel"/>
    <w:nsid w:val="2F000003"/>
    <w:tmpl w:val="1F7F36F6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4">
    <w:multiLevelType w:val="hybridMultilevel"/>
    <w:nsid w:val="2F000004"/>
    <w:tmpl w:val="3EF150BB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5">
    <w:multiLevelType w:val="hybridMultilevel"/>
    <w:nsid w:val="2F000005"/>
    <w:tmpl w:val="3AEB355F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6">
    <w:multiLevelType w:val="hybridMultilevel"/>
    <w:nsid w:val="2F000006"/>
    <w:tmpl w:val="4DFCFE4A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7">
    <w:multiLevelType w:val="hybridMultilevel"/>
    <w:nsid w:val="2F000007"/>
    <w:tmpl w:val="429AE533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8">
    <w:multiLevelType w:val="hybridMultilevel"/>
    <w:nsid w:val="2F000008"/>
    <w:tmpl w:val="2D3D8988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abstractNum w:abstractNumId="9">
    <w:multiLevelType w:val="hybridMultilevel"/>
    <w:nsid w:val="2F000009"/>
    <w:tmpl w:val="49104705"/>
    <w:lvl w:ilvl="0">
      <w:lvlJc w:val="left"/>
      <w:numFmt w:val="bullet"/>
      <w:start w:val="1"/>
      <w:suff w:val="tab"/>
      <w:pPr>
        <w:ind w:left="720" w:hanging="360"/>
        <w:tabs>
          <w:tab w:val="left" w:pos="720"/>
        </w:tabs>
        <w:rPr/>
      </w:pPr>
      <w:rPr>
        <w:sz w:val="20"/>
        <w:szCs w:val="20"/>
        <w:shd w:val="clear"/>
        <w:rFonts w:ascii="Symbol" w:eastAsia="Symbol" w:hAnsi="Symbol" w:cs="Symbol" w:hint="default"/>
      </w:rPr>
      <w:lvlText w:val="·"/>
    </w:lvl>
    <w:lvl w:ilvl="1">
      <w:lvlJc w:val="left"/>
      <w:numFmt w:val="bullet"/>
      <w:start w:val="1"/>
      <w:suff w:val="tab"/>
      <w:pPr>
        <w:ind w:left="1440" w:hanging="360"/>
        <w:tabs>
          <w:tab w:val="left" w:pos="1440"/>
        </w:tabs>
        <w:rPr/>
      </w:pPr>
      <w:rPr>
        <w:sz w:val="20"/>
        <w:szCs w:val="20"/>
        <w:shd w:val="clear"/>
        <w:rFonts w:ascii="Courier New" w:eastAsia="Courier New" w:hAnsi="Courier New" w:cs="Courier New" w:hint="default"/>
      </w:rPr>
      <w:lvlText w:val="o"/>
    </w:lvl>
    <w:lvl w:ilvl="2">
      <w:lvlJc w:val="left"/>
      <w:numFmt w:val="bullet"/>
      <w:start w:val="1"/>
      <w:suff w:val="tab"/>
      <w:pPr>
        <w:ind w:left="2160" w:hanging="360"/>
        <w:tabs>
          <w:tab w:val="left" w:pos="21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3">
      <w:lvlJc w:val="left"/>
      <w:numFmt w:val="bullet"/>
      <w:start w:val="1"/>
      <w:suff w:val="tab"/>
      <w:pPr>
        <w:ind w:left="2880" w:hanging="360"/>
        <w:tabs>
          <w:tab w:val="left" w:pos="28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4">
      <w:lvlJc w:val="left"/>
      <w:numFmt w:val="bullet"/>
      <w:start w:val="1"/>
      <w:suff w:val="tab"/>
      <w:pPr>
        <w:ind w:left="3600" w:hanging="360"/>
        <w:tabs>
          <w:tab w:val="left" w:pos="360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5">
      <w:lvlJc w:val="left"/>
      <w:numFmt w:val="bullet"/>
      <w:start w:val="1"/>
      <w:suff w:val="tab"/>
      <w:pPr>
        <w:ind w:left="4320" w:hanging="360"/>
        <w:tabs>
          <w:tab w:val="left" w:pos="432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6">
      <w:lvlJc w:val="left"/>
      <w:numFmt w:val="bullet"/>
      <w:start w:val="1"/>
      <w:suff w:val="tab"/>
      <w:pPr>
        <w:ind w:left="5040" w:hanging="360"/>
        <w:tabs>
          <w:tab w:val="left" w:pos="504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7">
      <w:lvlJc w:val="left"/>
      <w:numFmt w:val="bullet"/>
      <w:start w:val="1"/>
      <w:suff w:val="tab"/>
      <w:pPr>
        <w:ind w:left="5760" w:hanging="360"/>
        <w:tabs>
          <w:tab w:val="left" w:pos="576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  <w:lvl w:ilvl="8">
      <w:lvlJc w:val="left"/>
      <w:numFmt w:val="bullet"/>
      <w:start w:val="1"/>
      <w:suff w:val="tab"/>
      <w:pPr>
        <w:ind w:left="6480" w:hanging="360"/>
        <w:tabs>
          <w:tab w:val="left" w:pos="6480"/>
        </w:tabs>
        <w:rPr/>
      </w:pPr>
      <w:rPr>
        <w:sz w:val="20"/>
        <w:szCs w:val="20"/>
        <w:shd w:val="clear"/>
        <w:rFonts w:ascii="Wingdings" w:eastAsia="Wingdings" w:hAnsi="Wingdings" w:cs="Wingdings" w:hint="default"/>
      </w:rPr>
      <w:lvlText w:val="§"/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708"/>
  <w:displayHorizontalDrawingGridEvery w:val="0"/>
  <w:displayVerticalDrawingGridEvery w:val="2"/>
  <w:noPunctuationKerning/>
  <w:characterSpacingControl w:val="doNotCompress"/>
  <w:bordersDoNotSurroundHeader/>
  <w:bordersDoNotSurroundFooter/>
  <w:compat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lineRule="auto" w:line="278" w:after="160"/>
        <w:rPr/>
      </w:pPr>
    </w:pPrDefault>
    <w:rPrDefault>
      <w:rPr>
        <w:sz w:val="24"/>
        <w:szCs w:val="24"/>
        <w:shd w:val="clear"/>
        <w:rFonts w:asciiTheme="minorHAnsi" w:eastAsiaTheme="minorHAnsi" w:hAnsiTheme="minorHAnsi" w:cstheme="minorBidi"/>
        <w:lang w:bidi="ar-SA" w:eastAsia="en-US" w:val="tr-TR"/>
      </w:rPr>
    </w:rPrDefault>
  </w:docDefaults>
  <w:style w:default="1" w:styleId="PO1" w:type="paragraph">
    <w:name w:val="Normal"/>
    <w:qFormat/>
  </w:style>
  <w:style w:default="1" w:styleId="PO2" w:type="character">
    <w:name w:val="Default Paragraph Font"/>
    <w:uiPriority w:val="1"/>
    <w:semiHidden/>
    <w:unhideWhenUsed/>
  </w:style>
  <w:style w:default="1" w:styleId="PO3" w:type="table">
    <w:name w:val="Normal Table"/>
    <w:uiPriority w:val="99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99"/>
    <w:semiHidden/>
    <w:unhideWhenUsed/>
  </w:style>
  <w:style w:styleId="PO6" w:type="paragraph">
    <w:name w:val="Title"/>
    <w:basedOn w:val="PO1"/>
    <w:next w:val="PO1"/>
    <w:link w:val="PO160"/>
    <w:qFormat/>
    <w:uiPriority w:val="10"/>
    <w:pPr>
      <w:spacing w:lineRule="auto" w:line="240" w:after="80"/>
      <w:contextualSpacing w:val="1"/>
      <w:rPr/>
    </w:pPr>
    <w:rPr>
      <w:spacing w:val="-10"/>
      <w:sz w:val="56"/>
      <w:szCs w:val="56"/>
      <w:shd w:val="clear"/>
      <w:rFonts w:asciiTheme="majorHAnsi" w:eastAsiaTheme="majorEastAsia" w:hAnsiTheme="majorHAnsi" w:cstheme="majorBidi"/>
    </w:rPr>
  </w:style>
  <w:style w:styleId="PO7" w:type="paragraph">
    <w:name w:val="heading 1"/>
    <w:basedOn w:val="PO1"/>
    <w:next w:val="PO1"/>
    <w:link w:val="PO151"/>
    <w:qFormat/>
    <w:uiPriority w:val="9"/>
    <w:pPr>
      <w:spacing w:before="360" w:after="80"/>
      <w:rPr/>
      <w:outlineLvl w:val="0"/>
    </w:pPr>
    <w:rPr>
      <w:color w:val="2F5496" w:themeColor="accent1" w:themeShade="BF"/>
      <w:sz w:val="40"/>
      <w:szCs w:val="40"/>
      <w:shd w:val="clear"/>
      <w:rFonts w:asciiTheme="majorHAnsi" w:eastAsiaTheme="majorEastAsia" w:hAnsiTheme="majorHAnsi" w:cstheme="majorBidi"/>
    </w:rPr>
  </w:style>
  <w:style w:styleId="PO8" w:type="paragraph">
    <w:name w:val="heading 2"/>
    <w:basedOn w:val="PO1"/>
    <w:next w:val="PO1"/>
    <w:link w:val="PO152"/>
    <w:qFormat/>
    <w:uiPriority w:val="9"/>
    <w:semiHidden/>
    <w:unhideWhenUsed/>
    <w:pPr>
      <w:spacing w:before="160" w:after="80"/>
      <w:rPr/>
      <w:outlineLvl w:val="1"/>
    </w:pPr>
    <w:rPr>
      <w:color w:val="2F5496" w:themeColor="accent1" w:themeShade="BF"/>
      <w:sz w:val="32"/>
      <w:szCs w:val="32"/>
      <w:shd w:val="clear"/>
      <w:rFonts w:asciiTheme="majorHAnsi" w:eastAsiaTheme="majorEastAsia" w:hAnsiTheme="majorHAnsi" w:cstheme="majorBidi"/>
    </w:rPr>
  </w:style>
  <w:style w:styleId="PO9" w:type="paragraph">
    <w:name w:val="heading 3"/>
    <w:basedOn w:val="PO1"/>
    <w:next w:val="PO1"/>
    <w:link w:val="PO153"/>
    <w:qFormat/>
    <w:uiPriority w:val="9"/>
    <w:semiHidden/>
    <w:unhideWhenUsed/>
    <w:pPr>
      <w:spacing w:before="160" w:after="80"/>
      <w:rPr/>
      <w:outlineLvl w:val="2"/>
    </w:pPr>
    <w:rPr>
      <w:color w:val="2F5496" w:themeColor="accent1" w:themeShade="BF"/>
      <w:sz w:val="28"/>
      <w:szCs w:val="28"/>
      <w:shd w:val="clear"/>
      <w:rFonts w:eastAsiaTheme="majorEastAsia" w:cstheme="majorBidi"/>
    </w:rPr>
  </w:style>
  <w:style w:styleId="PO10" w:type="paragraph">
    <w:name w:val="heading 4"/>
    <w:basedOn w:val="PO1"/>
    <w:next w:val="PO1"/>
    <w:link w:val="PO154"/>
    <w:qFormat/>
    <w:uiPriority w:val="9"/>
    <w:semiHidden/>
    <w:unhideWhenUsed/>
    <w:pPr>
      <w:spacing w:before="80" w:after="40"/>
      <w:rPr/>
      <w:outlineLvl w:val="3"/>
    </w:pPr>
    <w:rPr>
      <w:i w:val="1"/>
      <w:color w:val="2F5496" w:themeColor="accent1" w:themeShade="BF"/>
      <w:shd w:val="clear"/>
      <w:rFonts w:eastAsiaTheme="majorEastAsia" w:cstheme="majorBidi"/>
    </w:rPr>
  </w:style>
  <w:style w:styleId="PO11" w:type="paragraph">
    <w:name w:val="heading 5"/>
    <w:basedOn w:val="PO1"/>
    <w:next w:val="PO1"/>
    <w:link w:val="PO155"/>
    <w:qFormat/>
    <w:uiPriority w:val="9"/>
    <w:semiHidden/>
    <w:unhideWhenUsed/>
    <w:pPr>
      <w:spacing w:before="80" w:after="40"/>
      <w:rPr/>
      <w:outlineLvl w:val="4"/>
    </w:pPr>
    <w:rPr>
      <w:color w:val="2F5496" w:themeColor="accent1" w:themeShade="BF"/>
      <w:shd w:val="clear"/>
      <w:rFonts w:eastAsiaTheme="majorEastAsia" w:cstheme="majorBidi"/>
    </w:rPr>
  </w:style>
  <w:style w:styleId="PO12" w:type="paragraph">
    <w:name w:val="heading 6"/>
    <w:basedOn w:val="PO1"/>
    <w:next w:val="PO1"/>
    <w:link w:val="PO156"/>
    <w:qFormat/>
    <w:uiPriority w:val="9"/>
    <w:semiHidden/>
    <w:unhideWhenUsed/>
    <w:pPr>
      <w:spacing w:before="40" w:after="0"/>
      <w:rPr/>
      <w:outlineLvl w:val="5"/>
    </w:pPr>
    <w:rPr>
      <w:i w:val="1"/>
      <w:color w:val="595959" w:themeColor="text1" w:themeTint="A5"/>
      <w:shd w:val="clear"/>
      <w:rFonts w:eastAsiaTheme="majorEastAsia" w:cstheme="majorBidi"/>
    </w:rPr>
  </w:style>
  <w:style w:styleId="PO13" w:type="paragraph">
    <w:name w:val="heading 7"/>
    <w:basedOn w:val="PO1"/>
    <w:next w:val="PO1"/>
    <w:link w:val="PO157"/>
    <w:qFormat/>
    <w:uiPriority w:val="9"/>
    <w:semiHidden/>
    <w:unhideWhenUsed/>
    <w:pPr>
      <w:spacing w:before="40" w:after="0"/>
      <w:rPr/>
      <w:outlineLvl w:val="6"/>
    </w:pPr>
    <w:rPr>
      <w:color w:val="595959" w:themeColor="text1" w:themeTint="A5"/>
      <w:shd w:val="clear"/>
      <w:rFonts w:eastAsiaTheme="majorEastAsia" w:cstheme="majorBidi"/>
    </w:rPr>
  </w:style>
  <w:style w:styleId="PO14" w:type="paragraph">
    <w:name w:val="heading 8"/>
    <w:basedOn w:val="PO1"/>
    <w:next w:val="PO1"/>
    <w:link w:val="PO158"/>
    <w:qFormat/>
    <w:uiPriority w:val="9"/>
    <w:semiHidden/>
    <w:unhideWhenUsed/>
    <w:pPr>
      <w:spacing w:after="0"/>
      <w:rPr/>
      <w:outlineLvl w:val="7"/>
    </w:pPr>
    <w:rPr>
      <w:i w:val="1"/>
      <w:color w:val="272727" w:themeColor="text1" w:themeTint="D8"/>
      <w:shd w:val="clear"/>
      <w:rFonts w:eastAsiaTheme="majorEastAsia" w:cstheme="majorBidi"/>
    </w:rPr>
  </w:style>
  <w:style w:styleId="PO15" w:type="paragraph">
    <w:name w:val="heading 9"/>
    <w:basedOn w:val="PO1"/>
    <w:next w:val="PO1"/>
    <w:link w:val="PO159"/>
    <w:qFormat/>
    <w:uiPriority w:val="9"/>
    <w:semiHidden/>
    <w:unhideWhenUsed/>
    <w:pPr>
      <w:spacing w:after="0"/>
      <w:rPr/>
      <w:outlineLvl w:val="8"/>
    </w:pPr>
    <w:rPr>
      <w:color w:val="272727" w:themeColor="text1" w:themeTint="D8"/>
      <w:shd w:val="clear"/>
      <w:rFonts w:eastAsiaTheme="majorEastAsia" w:cstheme="majorBidi"/>
    </w:rPr>
  </w:style>
  <w:style w:styleId="PO16" w:type="paragraph">
    <w:name w:val="Subtitle"/>
    <w:basedOn w:val="PO1"/>
    <w:next w:val="PO1"/>
    <w:link w:val="PO161"/>
    <w:qFormat/>
    <w:uiPriority w:val="11"/>
    <w:pPr>
      <w:numPr>
        <w:ilvl w:val="1"/>
      </w:numPr>
      <w:rPr/>
    </w:pPr>
    <w:rPr>
      <w:spacing w:val="15"/>
      <w:color w:val="595959" w:themeColor="text1" w:themeTint="A5"/>
      <w:sz w:val="28"/>
      <w:szCs w:val="28"/>
      <w:shd w:val="clear"/>
      <w:rFonts w:eastAsiaTheme="majorEastAsia" w:cstheme="majorBidi"/>
    </w:rPr>
  </w:style>
  <w:style w:styleId="PO19" w:type="character">
    <w:name w:val="Intense Emphasis"/>
    <w:basedOn w:val="PO2"/>
    <w:qFormat/>
    <w:uiPriority w:val="21"/>
    <w:rPr>
      <w:i w:val="1"/>
      <w:color w:val="2F5496" w:themeColor="accent1" w:themeShade="BF"/>
      <w:shd w:val="clear"/>
    </w:rPr>
  </w:style>
  <w:style w:styleId="PO21" w:type="paragraph">
    <w:name w:val="Quote"/>
    <w:basedOn w:val="PO1"/>
    <w:next w:val="PO1"/>
    <w:link w:val="PO162"/>
    <w:qFormat/>
    <w:uiPriority w:val="29"/>
    <w:pPr>
      <w:jc w:val="center"/>
      <w:spacing w:before="160"/>
      <w:rPr/>
    </w:pPr>
    <w:rPr>
      <w:i w:val="1"/>
      <w:color w:val="404040" w:themeColor="text1" w:themeTint="BF"/>
      <w:shd w:val="clear"/>
    </w:rPr>
  </w:style>
  <w:style w:styleId="PO22" w:type="paragraph">
    <w:name w:val="Intense Quote"/>
    <w:basedOn w:val="PO1"/>
    <w:next w:val="PO1"/>
    <w:link w:val="PO163"/>
    <w:qFormat/>
    <w:uiPriority w:val="30"/>
    <w:pPr>
      <w:jc w:val="center"/>
      <w:spacing w:before="360" w:after="360"/>
      <w:pBdr>
        <w:top w:sz="4" w:space="10" w:color="2F5496" w:themeColor="accent1" w:themeShade="BF" w:val="single"/>
        <w:bottom w:sz="4" w:space="10" w:color="2F5496" w:themeColor="accent1" w:themeShade="BF" w:val="single"/>
      </w:pBdr>
      <w:ind w:left="864" w:right="864" w:firstLine="0"/>
      <w:rPr/>
    </w:pPr>
    <w:rPr>
      <w:i w:val="1"/>
      <w:color w:val="2F5496" w:themeColor="accent1" w:themeShade="BF"/>
      <w:shd w:val="clear"/>
    </w:rPr>
  </w:style>
  <w:style w:styleId="PO24" w:type="character">
    <w:name w:val="Intense Reference"/>
    <w:basedOn w:val="PO2"/>
    <w:qFormat/>
    <w:uiPriority w:val="32"/>
    <w:rPr>
      <w:spacing w:val="5"/>
      <w:b w:val="1"/>
      <w:color w:val="2F5496" w:themeColor="accent1" w:themeShade="BF"/>
      <w:shd w:val="clear"/>
      <w:smallCaps w:val="1"/>
    </w:rPr>
  </w:style>
  <w:style w:styleId="PO26" w:type="paragraph">
    <w:name w:val="List Paragraph"/>
    <w:basedOn w:val="PO1"/>
    <w:qFormat/>
    <w:uiPriority w:val="34"/>
    <w:pPr>
      <w:contextualSpacing w:val="1"/>
      <w:ind w:left="720" w:firstLine="0"/>
      <w:rPr/>
    </w:pPr>
  </w:style>
  <w:style w:customStyle="1" w:styleId="PO151" w:type="character">
    <w:name w:val="Başlık 1 Char"/>
    <w:basedOn w:val="PO2"/>
    <w:link w:val="PO7"/>
    <w:uiPriority w:val="9"/>
    <w:rPr>
      <w:color w:val="2F5496" w:themeColor="accent1" w:themeShade="BF"/>
      <w:sz w:val="40"/>
      <w:szCs w:val="40"/>
      <w:shd w:val="clear"/>
      <w:rFonts w:asciiTheme="majorHAnsi" w:eastAsiaTheme="majorEastAsia" w:hAnsiTheme="majorHAnsi" w:cstheme="majorBidi"/>
    </w:rPr>
  </w:style>
  <w:style w:customStyle="1" w:styleId="PO152" w:type="character">
    <w:name w:val="Başlık 2 Char"/>
    <w:basedOn w:val="PO2"/>
    <w:link w:val="PO8"/>
    <w:uiPriority w:val="9"/>
    <w:semiHidden/>
    <w:rPr>
      <w:color w:val="2F5496" w:themeColor="accent1" w:themeShade="BF"/>
      <w:sz w:val="32"/>
      <w:szCs w:val="32"/>
      <w:shd w:val="clear"/>
      <w:rFonts w:asciiTheme="majorHAnsi" w:eastAsiaTheme="majorEastAsia" w:hAnsiTheme="majorHAnsi" w:cstheme="majorBidi"/>
    </w:rPr>
  </w:style>
  <w:style w:customStyle="1" w:styleId="PO153" w:type="character">
    <w:name w:val="Başlık 3 Char"/>
    <w:basedOn w:val="PO2"/>
    <w:link w:val="PO9"/>
    <w:uiPriority w:val="9"/>
    <w:semiHidden/>
    <w:rPr>
      <w:color w:val="2F5496" w:themeColor="accent1" w:themeShade="BF"/>
      <w:sz w:val="28"/>
      <w:szCs w:val="28"/>
      <w:shd w:val="clear"/>
      <w:rFonts w:eastAsiaTheme="majorEastAsia" w:cstheme="majorBidi"/>
    </w:rPr>
  </w:style>
  <w:style w:customStyle="1" w:styleId="PO154" w:type="character">
    <w:name w:val="Başlık 4 Char"/>
    <w:basedOn w:val="PO2"/>
    <w:link w:val="PO10"/>
    <w:uiPriority w:val="9"/>
    <w:semiHidden/>
    <w:rPr>
      <w:i w:val="1"/>
      <w:color w:val="2F5496" w:themeColor="accent1" w:themeShade="BF"/>
      <w:shd w:val="clear"/>
      <w:rFonts w:eastAsiaTheme="majorEastAsia" w:cstheme="majorBidi"/>
    </w:rPr>
  </w:style>
  <w:style w:customStyle="1" w:styleId="PO155" w:type="character">
    <w:name w:val="Başlık 5 Char"/>
    <w:basedOn w:val="PO2"/>
    <w:link w:val="PO11"/>
    <w:uiPriority w:val="9"/>
    <w:semiHidden/>
    <w:rPr>
      <w:color w:val="2F5496" w:themeColor="accent1" w:themeShade="BF"/>
      <w:shd w:val="clear"/>
      <w:rFonts w:eastAsiaTheme="majorEastAsia" w:cstheme="majorBidi"/>
    </w:rPr>
  </w:style>
  <w:style w:customStyle="1" w:styleId="PO156" w:type="character">
    <w:name w:val="Başlık 6 Char"/>
    <w:basedOn w:val="PO2"/>
    <w:link w:val="PO12"/>
    <w:uiPriority w:val="9"/>
    <w:semiHidden/>
    <w:rPr>
      <w:i w:val="1"/>
      <w:color w:val="595959" w:themeColor="text1" w:themeTint="A5"/>
      <w:shd w:val="clear"/>
      <w:rFonts w:eastAsiaTheme="majorEastAsia" w:cstheme="majorBidi"/>
    </w:rPr>
  </w:style>
  <w:style w:customStyle="1" w:styleId="PO157" w:type="character">
    <w:name w:val="Başlık 7 Char"/>
    <w:basedOn w:val="PO2"/>
    <w:link w:val="PO13"/>
    <w:uiPriority w:val="9"/>
    <w:semiHidden/>
    <w:rPr>
      <w:color w:val="595959" w:themeColor="text1" w:themeTint="A5"/>
      <w:shd w:val="clear"/>
      <w:rFonts w:eastAsiaTheme="majorEastAsia" w:cstheme="majorBidi"/>
    </w:rPr>
  </w:style>
  <w:style w:customStyle="1" w:styleId="PO158" w:type="character">
    <w:name w:val="Başlık 8 Char"/>
    <w:basedOn w:val="PO2"/>
    <w:link w:val="PO14"/>
    <w:uiPriority w:val="9"/>
    <w:semiHidden/>
    <w:rPr>
      <w:i w:val="1"/>
      <w:color w:val="272727" w:themeColor="text1" w:themeTint="D8"/>
      <w:shd w:val="clear"/>
      <w:rFonts w:eastAsiaTheme="majorEastAsia" w:cstheme="majorBidi"/>
    </w:rPr>
  </w:style>
  <w:style w:customStyle="1" w:styleId="PO159" w:type="character">
    <w:name w:val="Başlık 9 Char"/>
    <w:basedOn w:val="PO2"/>
    <w:link w:val="PO15"/>
    <w:uiPriority w:val="9"/>
    <w:semiHidden/>
    <w:rPr>
      <w:color w:val="272727" w:themeColor="text1" w:themeTint="D8"/>
      <w:shd w:val="clear"/>
      <w:rFonts w:eastAsiaTheme="majorEastAsia" w:cstheme="majorBidi"/>
    </w:rPr>
  </w:style>
  <w:style w:customStyle="1" w:styleId="PO160" w:type="character">
    <w:name w:val="Konu Başlığı Char"/>
    <w:basedOn w:val="PO2"/>
    <w:link w:val="PO6"/>
    <w:uiPriority w:val="10"/>
    <w:rPr>
      <w:spacing w:val="-10"/>
      <w:sz w:val="56"/>
      <w:szCs w:val="56"/>
      <w:shd w:val="clear"/>
      <w:rFonts w:asciiTheme="majorHAnsi" w:eastAsiaTheme="majorEastAsia" w:hAnsiTheme="majorHAnsi" w:cstheme="majorBidi"/>
    </w:rPr>
  </w:style>
  <w:style w:customStyle="1" w:styleId="PO161" w:type="character">
    <w:name w:val="Altyazı Char"/>
    <w:basedOn w:val="PO2"/>
    <w:link w:val="PO16"/>
    <w:uiPriority w:val="11"/>
    <w:rPr>
      <w:spacing w:val="15"/>
      <w:color w:val="595959" w:themeColor="text1" w:themeTint="A5"/>
      <w:sz w:val="28"/>
      <w:szCs w:val="28"/>
      <w:shd w:val="clear"/>
      <w:rFonts w:eastAsiaTheme="majorEastAsia" w:cstheme="majorBidi"/>
    </w:rPr>
  </w:style>
  <w:style w:customStyle="1" w:styleId="PO162" w:type="character">
    <w:name w:val="Alıntı Char"/>
    <w:basedOn w:val="PO2"/>
    <w:link w:val="PO21"/>
    <w:uiPriority w:val="29"/>
    <w:rPr>
      <w:i w:val="1"/>
      <w:color w:val="404040" w:themeColor="text1" w:themeTint="BF"/>
      <w:shd w:val="clear"/>
    </w:rPr>
  </w:style>
  <w:style w:customStyle="1" w:styleId="PO163" w:type="character">
    <w:name w:val="Güçlü Alıntı Char"/>
    <w:basedOn w:val="PO2"/>
    <w:link w:val="PO22"/>
    <w:uiPriority w:val="30"/>
    <w:rPr>
      <w:i w:val="1"/>
      <w:color w:val="2F5496" w:themeColor="accent1" w:themeShade="BF"/>
      <w:shd w:val="cle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3" Type="http://schemas.openxmlformats.org/officeDocument/2006/relationships/webSettings" Target="webSettings.xml"></Relationship><Relationship Id="rId4" Type="http://schemas.openxmlformats.org/officeDocument/2006/relationships/fontTable" Target="fontTable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AppVersion>12.000</AppVersion>
  <Characters>4725</Characters>
  <CharactersWithSpaces>0</CharactersWithSpaces>
  <DocSecurity>0</DocSecurity>
  <HyperlinksChanged>false</HyperlinksChanged>
  <Lines>33</Lines>
  <LinksUpToDate>false</LinksUpToDate>
  <Pages>2</Pages>
  <Paragraphs>9</Paragraphs>
  <Words>706</Words>
  <TotalTime>0</TotalTime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Pc</dc:creator>
  <cp:lastModifiedBy>Polaris Office</cp:lastModifiedBy>
  <dcterms:modified xsi:type="dcterms:W3CDTF">2025-04-15T10:05:00Z</dcterms:modified>
</cp:coreProperties>
</file>